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ind w:left="0" w:firstLine="0"/>
        <w:rPr>
          <w:u w:val="none"/>
        </w:rPr>
      </w:pPr>
      <w:bookmarkStart w:id="0" w:name="_GoBack"/>
      <w:bookmarkEnd w:id="0"/>
      <w:r>
        <w:rPr>
          <w:u w:val="none"/>
        </w:rPr>
        <w:t>INVOICE</w:t>
      </w:r>
    </w:p>
    <w:p>
      <w:pPr>
        <w:pStyle w:val="Title"/>
        <w:ind w:left="0" w:firstLine="0"/>
        <w:rPr>
          <w:u w:val="none"/>
        </w:rPr>
      </w:pPr>
    </w:p>
    <w:p>
      <w:pPr>
        <w:jc w:val="right"/>
        <w:rPr>
          <w:b/>
        </w:rPr>
      </w:pPr>
      <w:r>
        <w:rPr>
          <w:b/>
        </w:rPr>
        <w:t xml:space="preserve">Invoice No: </w:t>
      </w:r>
    </w:p>
    <w:p>
      <w:pPr>
        <w:jc w:val="center"/>
        <w:rPr>
          <w:b/>
        </w:rPr>
      </w:pPr>
      <w:r>
        <w:rPr>
          <w:b/>
        </w:rPr>
        <w:t>[CNT:Name]</w:t>
      </w:r>
    </w:p>
    <w:p>
      <w:pPr>
        <w:jc w:val="center"/>
        <w:rPr>
          <w:b/>
        </w:rPr>
      </w:pPr>
      <w:r>
        <w:rPr>
          <w:b/>
        </w:rPr>
        <w:t>to</w:t>
      </w:r>
    </w:p>
    <w:p>
      <w:pPr>
        <w:jc w:val="center"/>
        <w:rPr>
          <w:b/>
        </w:rPr>
      </w:pPr>
      <w:r>
        <w:rPr>
          <w:b/>
        </w:rPr>
        <w:t>[DIA:CompanyName]</w:t>
      </w:r>
    </w:p>
    <w:p>
      <w:pPr>
        <w:jc w:val="center"/>
        <w:rPr>
          <w:b/>
        </w:rPr>
      </w:pPr>
    </w:p>
    <w:p>
      <w:pPr>
        <w:jc w:val="center"/>
        <w:rPr>
          <w:b/>
        </w:rPr>
      </w:pPr>
    </w:p>
    <w:p>
      <w:pPr>
        <w:pBdr>
          <w:bottom w:val="single" w:sz="12" w:space="1" w:color="auto"/>
        </w:pBdr>
        <w:jc w:val="center"/>
        <w:rPr>
          <w:b/>
        </w:rPr>
      </w:pPr>
      <w:r>
        <w:rPr>
          <w:b/>
        </w:rPr>
        <w:t xml:space="preserve">Re: Enduring Power of Attorney </w:t>
      </w:r>
    </w:p>
    <w:p>
      <w:pPr>
        <w:rPr>
          <w:b/>
        </w:rPr>
      </w:pPr>
    </w:p>
    <w:p>
      <w:pPr>
        <w:ind w:right="4706"/>
        <w:jc w:val="both"/>
      </w:pPr>
      <w:r>
        <w:rPr>
          <w:b/>
        </w:rPr>
        <w:t xml:space="preserve">PROFESSIONAL FEES </w:t>
      </w:r>
      <w:r>
        <w:t xml:space="preserve">for all work done in relation to the Enduring Power of Attorney, to include taking initial instructions, drafting Enduring Power of Attorney, attending with clients at execution of same, notifying nominees that Donor has made Enduring Power of Attorney, and preparing and completing Affidavits of Service in this regard; </w:t>
      </w:r>
    </w:p>
    <w:p/>
    <w:p>
      <w:r>
        <w:t xml:space="preserve">For all the foregoing and for all advice’s, </w:t>
      </w:r>
    </w:p>
    <w:p>
      <w:pPr>
        <w:tabs>
          <w:tab w:val="decimal" w:pos="5760"/>
          <w:tab w:val="decimal" w:pos="8820"/>
        </w:tabs>
        <w:rPr>
          <w:b/>
        </w:rPr>
      </w:pPr>
      <w:r>
        <w:t>consultations and attendance’s  an inclusive fee of</w:t>
      </w:r>
      <w:r>
        <w:tab/>
      </w:r>
      <w:r>
        <w:tab/>
      </w:r>
      <w:r>
        <w:rPr>
          <w:b/>
        </w:rPr>
        <w:t>€350.00</w:t>
      </w:r>
    </w:p>
    <w:p>
      <w:pPr>
        <w:tabs>
          <w:tab w:val="decimal" w:pos="5760"/>
          <w:tab w:val="decimal" w:pos="8820"/>
        </w:tabs>
        <w:rPr>
          <w:b/>
        </w:rPr>
      </w:pPr>
    </w:p>
    <w:p>
      <w:pPr>
        <w:tabs>
          <w:tab w:val="decimal" w:pos="5760"/>
          <w:tab w:val="decimal" w:pos="8820"/>
        </w:tabs>
        <w:rPr>
          <w:b/>
        </w:rPr>
      </w:pPr>
      <w:r>
        <w:t>V.A.T. @ 23%</w:t>
      </w:r>
      <w:r>
        <w:tab/>
      </w:r>
      <w:r>
        <w:tab/>
      </w:r>
      <w:r>
        <w:rPr>
          <w:b/>
        </w:rPr>
        <w:t>€80.50</w:t>
      </w:r>
    </w:p>
    <w:p>
      <w:pPr>
        <w:tabs>
          <w:tab w:val="decimal" w:pos="5760"/>
          <w:tab w:val="decimal" w:pos="8820"/>
        </w:tabs>
        <w:rPr>
          <w:b/>
        </w:rPr>
      </w:pPr>
    </w:p>
    <w:p>
      <w:pPr>
        <w:pStyle w:val="Heading2"/>
        <w:tabs>
          <w:tab w:val="decimal" w:pos="5760"/>
          <w:tab w:val="decimal" w:pos="8820"/>
        </w:tabs>
      </w:pPr>
      <w:r>
        <w:t>OUTLAY NOT SUBJECT TO VAT</w:t>
      </w:r>
    </w:p>
    <w:p>
      <w:pPr>
        <w:tabs>
          <w:tab w:val="decimal" w:pos="5760"/>
          <w:tab w:val="decimal" w:pos="8820"/>
        </w:tabs>
        <w:rPr>
          <w:b/>
        </w:rPr>
      </w:pPr>
      <w:r>
        <w:t xml:space="preserve">Commissioners fees of Affidavits of Service </w:t>
      </w:r>
      <w:r>
        <w:tab/>
        <w:t>€20.00</w:t>
      </w:r>
      <w:r>
        <w:tab/>
      </w:r>
      <w:r>
        <w:rPr>
          <w:b/>
        </w:rPr>
        <w:t>€40.00</w:t>
      </w:r>
    </w:p>
    <w:p>
      <w:pPr>
        <w:tabs>
          <w:tab w:val="decimal" w:pos="5760"/>
          <w:tab w:val="decimal" w:pos="8820"/>
        </w:tabs>
      </w:pPr>
      <w:r>
        <w:rPr>
          <w:b/>
        </w:rPr>
        <w:t>Doctors fee for certificate</w:t>
      </w:r>
      <w:r>
        <w:rPr>
          <w:b/>
        </w:rPr>
        <w:tab/>
        <w:t>€[UDF:DocCertFeeEPA]</w:t>
      </w:r>
    </w:p>
    <w:p>
      <w:pPr>
        <w:tabs>
          <w:tab w:val="decimal" w:pos="5760"/>
          <w:tab w:val="decimal" w:pos="8820"/>
        </w:tabs>
        <w:rPr>
          <w:b/>
          <w:u w:val="single"/>
        </w:rPr>
      </w:pPr>
      <w:r>
        <w:tab/>
      </w:r>
      <w:r>
        <w:rPr>
          <w:b/>
        </w:rPr>
        <w:tab/>
      </w:r>
    </w:p>
    <w:p>
      <w:pPr>
        <w:tabs>
          <w:tab w:val="decimal" w:pos="5760"/>
          <w:tab w:val="decimal" w:pos="8820"/>
        </w:tabs>
        <w:rPr>
          <w:b/>
        </w:rPr>
      </w:pPr>
      <w:r>
        <w:rPr>
          <w:b/>
        </w:rPr>
        <w:t xml:space="preserve">Total </w:t>
      </w:r>
      <w:r>
        <w:rPr>
          <w:b/>
        </w:rPr>
        <w:tab/>
      </w:r>
      <w:r>
        <w:rPr>
          <w:b/>
        </w:rPr>
        <w:tab/>
        <w:t>€</w:t>
      </w:r>
    </w:p>
    <w:p>
      <w:pPr>
        <w:tabs>
          <w:tab w:val="decimal" w:pos="5760"/>
          <w:tab w:val="decimal" w:pos="8820"/>
        </w:tabs>
        <w:rPr>
          <w:b/>
        </w:rPr>
      </w:pPr>
    </w:p>
    <w:p>
      <w:pPr>
        <w:tabs>
          <w:tab w:val="decimal" w:pos="5760"/>
          <w:tab w:val="decimal" w:pos="8820"/>
        </w:tabs>
        <w:rPr>
          <w:b/>
        </w:rPr>
      </w:pPr>
      <w:r>
        <w:rPr>
          <w:b/>
        </w:rPr>
        <w:t xml:space="preserve">Dated this     day of </w:t>
      </w:r>
      <w:r>
        <w:rPr>
          <w:b/>
        </w:rPr>
        <w:t> </w:t>
      </w:r>
      <w:r>
        <w:rPr>
          <w:b/>
        </w:rPr>
        <w:t> </w:t>
      </w:r>
      <w:r>
        <w:rPr>
          <w:b/>
        </w:rPr>
        <w:t> </w:t>
      </w:r>
      <w:r>
        <w:rPr>
          <w:b/>
        </w:rPr>
        <w:t> </w:t>
      </w:r>
      <w:r>
        <w:rPr>
          <w:b/>
        </w:rPr>
        <w:t> </w:t>
      </w:r>
      <w:r>
        <w:rPr>
          <w:b/>
        </w:rPr>
        <w:t> </w:t>
      </w:r>
      <w:r>
        <w:rPr>
          <w:b/>
        </w:rPr>
        <w:t> </w:t>
      </w:r>
      <w:r>
        <w:rPr>
          <w:b/>
        </w:rPr>
        <w:t> </w:t>
      </w:r>
      <w:r>
        <w:rPr>
          <w:b/>
        </w:rPr>
        <w:t> </w:t>
      </w:r>
      <w:r>
        <w:rPr>
          <w:b/>
        </w:rPr>
        <w:t xml:space="preserve"> [DIA:ThisYear]</w:t>
      </w:r>
    </w:p>
    <w:p>
      <w:pPr>
        <w:rPr>
          <w:b/>
        </w:rPr>
      </w:pPr>
    </w:p>
    <w:p>
      <w:pPr>
        <w:rPr>
          <w:rStyle w:val="VariableCapitalised"/>
        </w:rPr>
      </w:pPr>
      <w:r>
        <w:rPr>
          <w:b/>
        </w:rPr>
        <w:t>Signed______________________________</w:t>
      </w:r>
    </w:p>
    <w:p>
      <w:pPr>
        <w:rPr>
          <w:rStyle w:val="VariableCapitalised"/>
        </w:rPr>
      </w:pPr>
      <w:r>
        <w:rPr>
          <w:rStyle w:val="VariableCapitalised"/>
        </w:rPr>
        <w:t>[DIA:CompanyName]</w:t>
      </w:r>
    </w:p>
    <w:p>
      <w:pPr>
        <w:rPr>
          <w:b/>
        </w:rPr>
      </w:pPr>
      <w:r>
        <w:rPr>
          <w:rStyle w:val="VariableCapitalised"/>
        </w:rPr>
        <w:t>S</w:t>
      </w:r>
      <w:r>
        <w:rPr>
          <w:b/>
        </w:rPr>
        <w:t>olicitors</w:t>
      </w:r>
    </w:p>
    <w:p>
      <w:pPr>
        <w:rPr>
          <w:b/>
        </w:rPr>
      </w:pPr>
      <w:r>
        <w:rPr>
          <w:b/>
        </w:rPr>
        <w:t>[DIA:Address]</w:t>
      </w:r>
    </w:p>
    <w:p>
      <w:pPr>
        <w:tabs>
          <w:tab w:val="decimal" w:pos="5760"/>
          <w:tab w:val="decimal" w:pos="8820"/>
        </w:tabs>
      </w:pPr>
      <w:r>
        <w:tab/>
      </w:r>
    </w:p>
    <w:p>
      <w:pPr>
        <w:rPr>
          <w:b/>
          <w:sz w:val="20"/>
        </w:rPr>
      </w:pPr>
      <w:r>
        <w:rPr>
          <w:b/>
          <w:sz w:val="20"/>
        </w:rPr>
        <w:t>VAT No: [SYS:CON:VATNo]</w:t>
      </w:r>
    </w:p>
    <w:p>
      <w:pPr>
        <w:rPr>
          <w:b/>
          <w:sz w:val="20"/>
        </w:rPr>
      </w:pPr>
      <w:r>
        <w:rPr>
          <w:b/>
          <w:sz w:val="20"/>
        </w:rPr>
        <w:t>REF: [MAT:Code]/[MAT:FeCode]/[MAT:Secretary]</w:t>
      </w:r>
    </w:p>
    <w:p/>
    <w:p>
      <w:r>
        <w:t>TO:</w:t>
      </w:r>
    </w:p>
    <w:p>
      <w:r>
        <w:t>[CNT:Name]</w:t>
      </w:r>
    </w:p>
    <w:p>
      <w:r>
        <w:t>[CNT:Address]</w:t>
      </w:r>
    </w:p>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83DF50-6866-4072-BBB8-5D9D356C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2880" w:firstLine="720"/>
      <w:jc w:val="center"/>
    </w:pPr>
    <w:rPr>
      <w:b/>
      <w:u w:val="single"/>
    </w:rPr>
  </w:style>
  <w:style w:type="paragraph" w:styleId="BodyText">
    <w:name w:val="Body Text"/>
    <w:basedOn w:val="Normal"/>
    <w:semiHidden/>
    <w:pPr>
      <w:tabs>
        <w:tab w:val="decimal" w:pos="5760"/>
        <w:tab w:val="decimal" w:pos="8820"/>
      </w:tabs>
    </w:pPr>
    <w:rPr>
      <w:b/>
    </w:rPr>
  </w:style>
  <w:style w:type="paragraph" w:styleId="BalloonText">
    <w:name w:val="Balloon Text"/>
    <w:basedOn w:val="Normal"/>
    <w:semiHidden/>
    <w:rPr>
      <w:rFonts w:ascii="Tahoma" w:hAnsi="Tahoma" w:cs="Tahoma"/>
      <w:sz w:val="16"/>
      <w:szCs w:val="16"/>
    </w:rPr>
  </w:style>
  <w:style w:type="character" w:customStyle="1" w:styleId="VariableCapitalised">
    <w:name w:val="Variable Capitalised"/>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INVOICE</vt:lpstr>
    </vt:vector>
  </TitlesOfParts>
  <Company/>
  <LinksUpToDate>false</LinksUpToDate>
  <CharactersWithSpaces>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John Bourke</dc:creator>
  <cp:keywords/>
  <dc:description/>
  <cp:lastModifiedBy>Art Kavanagh</cp:lastModifiedBy>
  <cp:revision>6</cp:revision>
  <cp:lastPrinted>2010-09-17T09:17:00Z</cp:lastPrinted>
  <dcterms:created xsi:type="dcterms:W3CDTF">2019-08-15T14:50:00Z</dcterms:created>
  <dcterms:modified xsi:type="dcterms:W3CDTF">2020-07-02T11:10:00Z</dcterms:modified>
</cp:coreProperties>
</file>